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9529" w14:textId="707F19F9" w:rsidR="00A86CF6" w:rsidRPr="00112C05" w:rsidRDefault="009E6885" w:rsidP="00112C05">
      <w:pPr>
        <w:jc w:val="center"/>
        <w:rPr>
          <w:b/>
        </w:rPr>
      </w:pPr>
      <w:bookmarkStart w:id="0" w:name="_GoBack"/>
      <w:bookmarkEnd w:id="0"/>
      <w:r>
        <w:rPr>
          <w:b/>
        </w:rPr>
        <w:t>“The Diplomatic Dynamic for Space Security</w:t>
      </w:r>
      <w:r w:rsidR="009A07BA" w:rsidRPr="00112C05">
        <w:rPr>
          <w:b/>
        </w:rPr>
        <w:t>”</w:t>
      </w:r>
    </w:p>
    <w:p w14:paraId="40D9208F" w14:textId="40A762F1" w:rsidR="009A07BA" w:rsidRPr="00112C05" w:rsidRDefault="009E6885" w:rsidP="00112C05">
      <w:pPr>
        <w:jc w:val="center"/>
        <w:rPr>
          <w:b/>
        </w:rPr>
      </w:pPr>
      <w:r>
        <w:rPr>
          <w:b/>
        </w:rPr>
        <w:t>Presentation</w:t>
      </w:r>
      <w:r w:rsidR="009A07BA" w:rsidRPr="00112C05">
        <w:rPr>
          <w:b/>
        </w:rPr>
        <w:t xml:space="preserve"> by Paul Meyer, Senior Fellow, The Simons Foundation</w:t>
      </w:r>
    </w:p>
    <w:p w14:paraId="64C2DF8B" w14:textId="555D3A0B" w:rsidR="009A07BA" w:rsidRDefault="009E6885" w:rsidP="00112C05">
      <w:pPr>
        <w:jc w:val="center"/>
        <w:rPr>
          <w:b/>
        </w:rPr>
      </w:pPr>
      <w:r>
        <w:rPr>
          <w:b/>
          <w:i/>
        </w:rPr>
        <w:t>Underpinning Foundations of Space Security</w:t>
      </w:r>
      <w:r>
        <w:rPr>
          <w:b/>
        </w:rPr>
        <w:t xml:space="preserve"> UNIDIR Conference </w:t>
      </w:r>
    </w:p>
    <w:p w14:paraId="552A5DCC" w14:textId="74889727" w:rsidR="009E6885" w:rsidRPr="00112C05" w:rsidRDefault="009E6885" w:rsidP="00112C05">
      <w:pPr>
        <w:jc w:val="center"/>
        <w:rPr>
          <w:b/>
        </w:rPr>
      </w:pPr>
      <w:r>
        <w:rPr>
          <w:b/>
        </w:rPr>
        <w:t>August 24-25, 2015, Geneva, Switzerland</w:t>
      </w:r>
    </w:p>
    <w:p w14:paraId="2306D048" w14:textId="77777777" w:rsidR="009A07BA" w:rsidRDefault="009A07BA"/>
    <w:p w14:paraId="10392FAC" w14:textId="63ED0CF9" w:rsidR="005C488D" w:rsidRDefault="00AF6BFB" w:rsidP="009E6885">
      <w:r>
        <w:t xml:space="preserve">The </w:t>
      </w:r>
      <w:r w:rsidR="008C3A17">
        <w:t>issue</w:t>
      </w:r>
      <w:r w:rsidR="009E6885">
        <w:t xml:space="preserve"> of </w:t>
      </w:r>
      <w:r w:rsidR="009A07BA">
        <w:t xml:space="preserve">Outer Space security is marked by both dynamic and static aspects. </w:t>
      </w:r>
      <w:r w:rsidR="009E6885">
        <w:t xml:space="preserve">The last decade or so of outer space activities give stark examples of both conditions. </w:t>
      </w:r>
      <w:r w:rsidR="009A07BA">
        <w:t>The dynamic side is represented by the impressive growth in the number of states engaged in s</w:t>
      </w:r>
      <w:r w:rsidR="009E6885">
        <w:t>pace operations and the tandem</w:t>
      </w:r>
      <w:r w:rsidR="009A07BA">
        <w:t xml:space="preserve"> expansion of the number of involved non-state actors.</w:t>
      </w:r>
      <w:r w:rsidR="0054708A">
        <w:t xml:space="preserve"> There has been a commensurate</w:t>
      </w:r>
      <w:r w:rsidR="009E6885">
        <w:t xml:space="preserve"> and rapid</w:t>
      </w:r>
      <w:r w:rsidR="0054708A">
        <w:t xml:space="preserve"> growth in the range of services being delivered from space and societal dependence on uninterrupted access to these services.</w:t>
      </w:r>
      <w:r w:rsidR="009E6885">
        <w:t xml:space="preserve"> All of these developments should also translate into a natural expansion of</w:t>
      </w:r>
      <w:r w:rsidR="005C488D">
        <w:t xml:space="preserve"> the stakeholders for outer space security.</w:t>
      </w:r>
    </w:p>
    <w:p w14:paraId="0843B1C7" w14:textId="77777777" w:rsidR="009E6885" w:rsidRDefault="009E6885" w:rsidP="009E6885"/>
    <w:p w14:paraId="6605BC09" w14:textId="32980A16" w:rsidR="005C488D" w:rsidRDefault="009E6885" w:rsidP="009E6885">
      <w:r>
        <w:t xml:space="preserve">Regrettably not all the developments have been positive. </w:t>
      </w:r>
      <w:r w:rsidR="005C488D">
        <w:t xml:space="preserve">On the negative side recent years have also witnessed a re-emergence of a </w:t>
      </w:r>
      <w:r>
        <w:t>threat that had been dormant</w:t>
      </w:r>
      <w:r w:rsidR="005C488D">
        <w:t xml:space="preserve"> for </w:t>
      </w:r>
      <w:r>
        <w:t xml:space="preserve">over </w:t>
      </w:r>
      <w:r w:rsidR="005C488D">
        <w:t>thre</w:t>
      </w:r>
      <w:r>
        <w:t>e decades.</w:t>
      </w:r>
      <w:r w:rsidR="005C488D">
        <w:t xml:space="preserve"> I refer </w:t>
      </w:r>
      <w:r>
        <w:t xml:space="preserve">in particular </w:t>
      </w:r>
      <w:r w:rsidR="005C488D">
        <w:t xml:space="preserve">to the ASAT tests of 2007 (China) and 2008 (US) respectively. </w:t>
      </w:r>
      <w:r>
        <w:t xml:space="preserve"> These demonstrations of the capability to target and destroy satellites in orbit served to draw attention to the </w:t>
      </w:r>
      <w:r w:rsidR="00756F89">
        <w:t>fact that such contingencies have</w:t>
      </w:r>
      <w:r>
        <w:t xml:space="preserve"> not been ruled out of order </w:t>
      </w:r>
      <w:r w:rsidR="000C700D">
        <w:t xml:space="preserve">by the international community and that it was reliant on state restraint to prevent catastrophic actions in the outer space environment. </w:t>
      </w:r>
    </w:p>
    <w:p w14:paraId="379B261B" w14:textId="77777777" w:rsidR="00112C05" w:rsidRDefault="00112C05" w:rsidP="00756F89">
      <w:pPr>
        <w:pStyle w:val="ListParagraph"/>
      </w:pPr>
    </w:p>
    <w:p w14:paraId="2916E0B2" w14:textId="597F43AB" w:rsidR="00392D01" w:rsidRDefault="005C488D" w:rsidP="00756F89">
      <w:r>
        <w:t xml:space="preserve">In contrast to these developments is the </w:t>
      </w:r>
      <w:r w:rsidR="00756F89">
        <w:t xml:space="preserve">largely </w:t>
      </w:r>
      <w:r>
        <w:t>static situation that has characterized the legal-diplomatic frame</w:t>
      </w:r>
      <w:r w:rsidR="008C3A17">
        <w:t>work for outer space security. Relatively l</w:t>
      </w:r>
      <w:r>
        <w:t>ittle has been done to develop the normative regime for outer space security enshrined in the Outer Space Treaty of 1967.</w:t>
      </w:r>
    </w:p>
    <w:p w14:paraId="5611A868" w14:textId="77777777" w:rsidR="00112C05" w:rsidRDefault="00112C05" w:rsidP="00112C05">
      <w:pPr>
        <w:pStyle w:val="ListParagraph"/>
      </w:pPr>
    </w:p>
    <w:p w14:paraId="37480431" w14:textId="79ECE192" w:rsidR="00F65DBF" w:rsidRDefault="00392D01" w:rsidP="00756F89">
      <w:r>
        <w:t xml:space="preserve">At the same time there has been a prolonged disconnect between what the international community says it wants for outer space and what it is </w:t>
      </w:r>
      <w:r w:rsidR="00756F89">
        <w:t xml:space="preserve">actually </w:t>
      </w:r>
      <w:r>
        <w:t>prepared to do. This policy direction has come in the form of the “Prevention of an Arms Race in Outer Space” (PAROS) resolution, which has been passed with near universal support in the UN General Assembly on an annual basis since the early 1980s. This resolution calls for reinforcing the existing regime</w:t>
      </w:r>
      <w:r w:rsidR="0054708A">
        <w:t xml:space="preserve"> </w:t>
      </w:r>
      <w:r>
        <w:t>with additional measures and enhancing its effectiveness. It also specifies the establishment of a working group on PAROS</w:t>
      </w:r>
      <w:r w:rsidR="00DD0E4A">
        <w:t xml:space="preserve"> in the Conference on Disarmament “as early as possible in </w:t>
      </w:r>
      <w:r w:rsidR="00756F89">
        <w:t>the 2015 session”. Alas such appeals have taken on the nature of</w:t>
      </w:r>
      <w:r w:rsidR="00DD0E4A">
        <w:t xml:space="preserve"> an empty, ritualized process given the fact that the CD has been moribund for almost 20 years. This stagnant diplomacy </w:t>
      </w:r>
      <w:r w:rsidR="00756F89">
        <w:t xml:space="preserve">with respect to outer space security </w:t>
      </w:r>
      <w:r w:rsidR="00DD0E4A">
        <w:t xml:space="preserve">regrettably has been tolerated by states for far too long. </w:t>
      </w:r>
    </w:p>
    <w:p w14:paraId="7E768C5F" w14:textId="77777777" w:rsidR="00112C05" w:rsidRDefault="00112C05" w:rsidP="00112C05">
      <w:pPr>
        <w:pStyle w:val="ListParagraph"/>
      </w:pPr>
    </w:p>
    <w:p w14:paraId="7DE3D4A0" w14:textId="22DF1860" w:rsidR="00502BEA" w:rsidRDefault="00050C11" w:rsidP="00756F89">
      <w:r>
        <w:t xml:space="preserve">Fortunately the world doesn’t stay still just because diplomats have become lazy or complacent. </w:t>
      </w:r>
      <w:r w:rsidR="00F65DBF">
        <w:t>External events are often catalysts for diplomatic activity. The shock of the ASAT use in 2007 and 2008 combined with the growing recognition of the threat to low earth orbit space op</w:t>
      </w:r>
      <w:r w:rsidR="00502BEA">
        <w:t xml:space="preserve">erations posed by space debris </w:t>
      </w:r>
      <w:r>
        <w:t>seems to have galvanized some</w:t>
      </w:r>
      <w:r w:rsidR="00502BEA">
        <w:t xml:space="preserve"> concerned states</w:t>
      </w:r>
      <w:r>
        <w:t xml:space="preserve"> into taking action</w:t>
      </w:r>
      <w:r w:rsidR="00502BEA">
        <w:t xml:space="preserve">. </w:t>
      </w:r>
    </w:p>
    <w:p w14:paraId="24F41C9D" w14:textId="77777777" w:rsidR="00112C05" w:rsidRDefault="00112C05" w:rsidP="00112C05"/>
    <w:p w14:paraId="57712C80" w14:textId="0253DCE1" w:rsidR="009A07BA" w:rsidRDefault="00050C11" w:rsidP="00050C11">
      <w:r>
        <w:lastRenderedPageBreak/>
        <w:t>The current diplomatic dynamic has yielded a number of ideas of which</w:t>
      </w:r>
      <w:r w:rsidR="006F26EC">
        <w:t xml:space="preserve"> four</w:t>
      </w:r>
      <w:r w:rsidR="009A07BA">
        <w:t xml:space="preserve"> </w:t>
      </w:r>
      <w:r>
        <w:t xml:space="preserve"> proposals figure prominently in multilateral discussions</w:t>
      </w:r>
      <w:r w:rsidR="002970F9">
        <w:t xml:space="preserve"> </w:t>
      </w:r>
      <w:r w:rsidR="006F26EC">
        <w:t>concerning outer space security:</w:t>
      </w:r>
      <w:r w:rsidR="002970F9">
        <w:t xml:space="preserve"> </w:t>
      </w:r>
    </w:p>
    <w:p w14:paraId="1D4058EA" w14:textId="77777777" w:rsidR="006F26EC" w:rsidRDefault="006F26EC" w:rsidP="006F26EC"/>
    <w:p w14:paraId="33EE3F59" w14:textId="664D4A79" w:rsidR="002970F9" w:rsidRDefault="00050C11" w:rsidP="00050C11">
      <w:r>
        <w:t>The oldest of these</w:t>
      </w:r>
      <w:r w:rsidR="008C3A17">
        <w:t xml:space="preserve"> proposals</w:t>
      </w:r>
      <w:r>
        <w:t xml:space="preserve"> is the Sino-Russian draft treaty on the </w:t>
      </w:r>
      <w:r w:rsidR="002970F9">
        <w:t>Prohibition on Placement of Weapons in Space Treaty (PPWT). This proposed treaty</w:t>
      </w:r>
      <w:r>
        <w:t>, elements of which were already introduced back in 2002,</w:t>
      </w:r>
      <w:r w:rsidR="002970F9">
        <w:t xml:space="preserve"> was officially presented by China and Russia to the CD in 2008 with a revised version submitted in 2014. It has been criticized for its scope (space-based weapons only) and lack o</w:t>
      </w:r>
      <w:r>
        <w:t>f verification provisions. The major impediment to its receiving attention however seems to be</w:t>
      </w:r>
      <w:r w:rsidR="002970F9">
        <w:t xml:space="preserve"> its sponsors’ insistence to confine consideration of the treaty to the CD</w:t>
      </w:r>
      <w:r>
        <w:t xml:space="preserve"> exclusively</w:t>
      </w:r>
      <w:r w:rsidR="00FB04D1">
        <w:t>. This in turn has led to the unsurprising consequence that little</w:t>
      </w:r>
      <w:r w:rsidR="002970F9">
        <w:t xml:space="preserve"> discussion of the draft has occurred. </w:t>
      </w:r>
    </w:p>
    <w:p w14:paraId="0922DEFA" w14:textId="77777777" w:rsidR="006F26EC" w:rsidRDefault="006F26EC" w:rsidP="006F26EC">
      <w:pPr>
        <w:pStyle w:val="ListParagraph"/>
      </w:pPr>
    </w:p>
    <w:p w14:paraId="287865F5" w14:textId="0AED1D81" w:rsidR="002970F9" w:rsidRDefault="00FB04D1" w:rsidP="00FB04D1">
      <w:r>
        <w:t>A more successful Russian</w:t>
      </w:r>
      <w:r w:rsidR="002970F9">
        <w:t xml:space="preserve"> initiative from 2011 w</w:t>
      </w:r>
      <w:r w:rsidR="008C3A17">
        <w:t>as the convening of a</w:t>
      </w:r>
      <w:r w:rsidR="002970F9">
        <w:t xml:space="preserve"> UN Group of Governmental Experts on Transparency and Confidence Building Measures (TCBM) that produced a </w:t>
      </w:r>
      <w:r w:rsidR="008C3A17">
        <w:t xml:space="preserve">substantive and </w:t>
      </w:r>
      <w:r w:rsidR="002970F9">
        <w:t xml:space="preserve">consensus report in 2013. The report set out a menu of possible measures and a useful set of criteria for evaluating proposed measures. It remains however only a set of recommendations and to date states have not displayed a commitment to adopt any of these measures. </w:t>
      </w:r>
    </w:p>
    <w:p w14:paraId="19D0D984" w14:textId="77777777" w:rsidR="006F26EC" w:rsidRDefault="006F26EC" w:rsidP="006F26EC"/>
    <w:p w14:paraId="64D6F5F7" w14:textId="6D9B9B8A" w:rsidR="002970F9" w:rsidRDefault="00FB04D1" w:rsidP="00FB04D1">
      <w:r>
        <w:t xml:space="preserve">Probably the proposal that has received the most attention in recent years has been </w:t>
      </w:r>
      <w:r w:rsidR="002970F9">
        <w:t>The Int</w:t>
      </w:r>
      <w:r>
        <w:t xml:space="preserve">ernational Code of Conduct </w:t>
      </w:r>
      <w:r w:rsidR="008C3A17">
        <w:t xml:space="preserve">for Outer Space Activities </w:t>
      </w:r>
      <w:r>
        <w:t>initiated by the EU and the text of which</w:t>
      </w:r>
      <w:r w:rsidR="002970F9">
        <w:t xml:space="preserve"> was firs</w:t>
      </w:r>
      <w:r>
        <w:t>t presented in December 2008. The Code</w:t>
      </w:r>
      <w:r w:rsidR="002970F9">
        <w:t xml:space="preserve"> essentially re-packaged existing principles and commitments into a </w:t>
      </w:r>
      <w:r w:rsidR="00CD58A2">
        <w:t>framework of confidence building measures</w:t>
      </w:r>
      <w:r>
        <w:t xml:space="preserve"> and arguably does not really enlarge upon the current normative framework. The Code </w:t>
      </w:r>
      <w:r w:rsidR="00CD58A2">
        <w:t>do</w:t>
      </w:r>
      <w:r>
        <w:t>es contain however a</w:t>
      </w:r>
      <w:r w:rsidR="00CD58A2">
        <w:t xml:space="preserve"> promising innovation of institutional support including provision for biennial meetings of state parties, </w:t>
      </w:r>
      <w:r w:rsidR="00541094">
        <w:t>annual exchanges of information, consultative mechanisms and a Central Point of Contact with secretariat-like functions. All of these institutional</w:t>
      </w:r>
      <w:r>
        <w:t xml:space="preserve"> elements</w:t>
      </w:r>
      <w:r w:rsidR="00541094">
        <w:t xml:space="preserve"> were</w:t>
      </w:r>
      <w:r w:rsidR="00CD58A2">
        <w:t xml:space="preserve"> lacking in the Outer Space</w:t>
      </w:r>
      <w:r w:rsidR="00541094">
        <w:t xml:space="preserve"> Treaty. The diplomatic gestation</w:t>
      </w:r>
      <w:r w:rsidR="00CD58A2">
        <w:t xml:space="preserve"> of the Code of Conduct has been </w:t>
      </w:r>
      <w:r w:rsidR="00541094">
        <w:t xml:space="preserve">protracted and problematic. In particular the ICOC initiative seems to have </w:t>
      </w:r>
      <w:r w:rsidR="00CD58A2">
        <w:t xml:space="preserve">alienated several influential space powers </w:t>
      </w:r>
      <w:r w:rsidR="00541094">
        <w:t>that</w:t>
      </w:r>
      <w:r w:rsidR="00CD58A2">
        <w:t xml:space="preserve"> were not brought into an equitable </w:t>
      </w:r>
      <w:r w:rsidR="008C3A17">
        <w:t xml:space="preserve">process for the </w:t>
      </w:r>
      <w:r w:rsidR="00CD58A2">
        <w:t xml:space="preserve">development of the text. The EU belatedly has agreed to move the process into a true multilateral negotiation, but its ultimate acceptability is far from assured. </w:t>
      </w:r>
      <w:r w:rsidR="00541094">
        <w:t>The recently concluded session in New York, July 27-31 that the EU had hoped would constitute a negotiation of the text seems to have run into resistance on the part of states, notably from the BRICS, which insist that a UN General Assembly mandate for a negotiation process be obtained first.</w:t>
      </w:r>
    </w:p>
    <w:p w14:paraId="44BC3444" w14:textId="77777777" w:rsidR="006F26EC" w:rsidRDefault="006F26EC" w:rsidP="006F26EC"/>
    <w:p w14:paraId="215E1B61" w14:textId="0584C44C" w:rsidR="00F30228" w:rsidRDefault="00541094" w:rsidP="00541094">
      <w:r>
        <w:t xml:space="preserve">If divisions emerged over what many observers considered a relatively innocuous package of measures represented by the Code of Conduct, it is not surprising that more </w:t>
      </w:r>
      <w:r w:rsidR="00E5328D">
        <w:t xml:space="preserve">prescriptive measures on space security have encountered resistance. </w:t>
      </w:r>
      <w:r w:rsidR="00CD58A2">
        <w:t>The most recent initiative, again originating with Russia, has had</w:t>
      </w:r>
      <w:r w:rsidR="00E5328D">
        <w:t>, in my view,</w:t>
      </w:r>
      <w:r w:rsidR="00CD58A2">
        <w:t xml:space="preserve"> a</w:t>
      </w:r>
      <w:r w:rsidR="00E5328D">
        <w:t>n unfortunately</w:t>
      </w:r>
      <w:r w:rsidR="00CD58A2">
        <w:t xml:space="preserve"> ret</w:t>
      </w:r>
      <w:r w:rsidR="00E5328D">
        <w:t>rograde character that erodes</w:t>
      </w:r>
      <w:r w:rsidR="00CD58A2">
        <w:t xml:space="preserve"> the generally consensual approach that has marked multilateral work on outer</w:t>
      </w:r>
      <w:r w:rsidR="00E5328D">
        <w:t xml:space="preserve"> space security in the past. I refer to the </w:t>
      </w:r>
      <w:r w:rsidR="00E5328D">
        <w:lastRenderedPageBreak/>
        <w:t>new resolution</w:t>
      </w:r>
      <w:r w:rsidR="00CD58A2">
        <w:t xml:space="preserve"> Russia introduced at the General Assembly </w:t>
      </w:r>
      <w:r w:rsidR="00E5328D">
        <w:t xml:space="preserve">in 2014 </w:t>
      </w:r>
      <w:r w:rsidR="00CD58A2">
        <w:t xml:space="preserve">calling upon states to pledge not to be the first state to place weapons in outer space. </w:t>
      </w:r>
      <w:r w:rsidR="00E1232B">
        <w:t xml:space="preserve">Many states </w:t>
      </w:r>
      <w:r w:rsidR="00B902B3">
        <w:t>viewed this as an unhelpful</w:t>
      </w:r>
      <w:r w:rsidR="00E1232B">
        <w:t xml:space="preserve"> move that could be seen as providing an incentive to states to develop space weapons capabilities so they could respond to any first use. </w:t>
      </w:r>
      <w:r w:rsidR="00F30228">
        <w:t>As a Brazilian diplomat has put it recently “If our aim is truly to prevent actions that would lead to the destruction of or to interference with space objects, we should be saying something simpler and more direct: no weapons shall ever be installed, deployed or used in outer space. There will be no placement of weapo</w:t>
      </w:r>
      <w:r w:rsidR="00E72074">
        <w:t>ns in space. No first, second or</w:t>
      </w:r>
      <w:r w:rsidR="00F30228">
        <w:t xml:space="preserve"> third placement. Period. Space is to remain free from conflict”. </w:t>
      </w:r>
    </w:p>
    <w:p w14:paraId="522BAD1D" w14:textId="77777777" w:rsidR="00F30228" w:rsidRDefault="00F30228" w:rsidP="00541094"/>
    <w:p w14:paraId="7C1866E2" w14:textId="2153E718" w:rsidR="00CD58A2" w:rsidRDefault="00E1232B" w:rsidP="00541094">
      <w:r>
        <w:t>Although the resolution</w:t>
      </w:r>
      <w:r w:rsidR="00F30228">
        <w:t xml:space="preserve"> (69/32)</w:t>
      </w:r>
      <w:r>
        <w:t xml:space="preserve"> was adopted by the General Assembly</w:t>
      </w:r>
      <w:r w:rsidR="00F30228">
        <w:t xml:space="preserve"> with 126 positive votes</w:t>
      </w:r>
      <w:r>
        <w:t xml:space="preserve"> fifty states either opposed or abstained on the resolution, creating new divisions amongst states on this sensitive dimension of space security.</w:t>
      </w:r>
      <w:r w:rsidR="00F30228">
        <w:t xml:space="preserve"> At a time when there are voices in leading military establishments reviving the discourse of space dominance and offensive space operations, it is appropriate to ask ourselves whether we should be working to enlarge or bridge the differences among states over how best to secure outer space. </w:t>
      </w:r>
    </w:p>
    <w:p w14:paraId="28B1F703" w14:textId="77777777" w:rsidR="00D45153" w:rsidRDefault="00D45153" w:rsidP="00541094"/>
    <w:p w14:paraId="4E5DEAEE" w14:textId="4077A737" w:rsidR="00D45153" w:rsidRDefault="00AA0BB4" w:rsidP="00541094">
      <w:r>
        <w:t>Given that the level of</w:t>
      </w:r>
      <w:r w:rsidR="00D45153">
        <w:t xml:space="preserve"> mistrust and belligerent rhetoric is on the rise, it would be prudent to seek to reconstitute the consensus around preserving space as a benign operating environment to further the peaceful purposes of humanity. One possible diplomatic initiative to consider would be to seize the opportunity presented by the unprecedented joint session of the First and Fourth Committees at this fall’s UN General Assembly to adopt a resolution to reinforce the cooperative approach to space security represented by the Outer Space Treaty. Such a resolution could arrange for the first ever meeting of states parties to this foundational treaty to commemorate its 50</w:t>
      </w:r>
      <w:r w:rsidR="00D45153" w:rsidRPr="00D45153">
        <w:rPr>
          <w:vertAlign w:val="superscript"/>
        </w:rPr>
        <w:t>th</w:t>
      </w:r>
      <w:r w:rsidR="00D45153">
        <w:t xml:space="preserve"> anniversary in 2017. A meeting of the 101 states parties would afford an opportunity to celebrate the O</w:t>
      </w:r>
      <w:r>
        <w:t xml:space="preserve">uter </w:t>
      </w:r>
      <w:r w:rsidR="00D45153">
        <w:t>S</w:t>
      </w:r>
      <w:r>
        <w:t xml:space="preserve">pace </w:t>
      </w:r>
      <w:r w:rsidR="00D45153">
        <w:t>T</w:t>
      </w:r>
      <w:r>
        <w:t>reaty</w:t>
      </w:r>
      <w:r w:rsidR="00D45153">
        <w:t xml:space="preserve"> and what has been achieved under its auspices over half a century as well as spur reflection on what might be done in future to advance its core objectives. </w:t>
      </w:r>
    </w:p>
    <w:p w14:paraId="7F81FDF4" w14:textId="77777777" w:rsidR="00D45153" w:rsidRDefault="00D45153" w:rsidP="00541094"/>
    <w:p w14:paraId="781BFAA9" w14:textId="77777777" w:rsidR="006F26EC" w:rsidRDefault="006F26EC" w:rsidP="006F26EC"/>
    <w:p w14:paraId="7DBB8954" w14:textId="71112A2A" w:rsidR="00112C05" w:rsidRDefault="00112C05" w:rsidP="00D45153">
      <w:r>
        <w:t xml:space="preserve">To conclude, there is a price to be paid for the </w:t>
      </w:r>
      <w:r w:rsidR="00CB6B93">
        <w:t xml:space="preserve">relative </w:t>
      </w:r>
      <w:r>
        <w:t xml:space="preserve">neglect shown on space security diplomacy. Is it wise to rely indefinitely on the self-restraint of states without codifying in some fashion norms for responsible state behavior? </w:t>
      </w:r>
      <w:r w:rsidR="00D45153">
        <w:t xml:space="preserve">The current </w:t>
      </w:r>
      <w:r w:rsidR="00CB6B93">
        <w:t xml:space="preserve">political-military environment is manifesting negative tendencies that could seriously threaten safe and secure space operations. There is a need for a countervailing diplomatic dynamic that will look to reinforce the existing cooperative regime for outer space security and extend its scope and effectiveness. This is not only a work for states and their diplomatic establishments.  </w:t>
      </w:r>
      <w:r>
        <w:t>It will be crucial for the broader stakeholder community to engage on these issues in order to defend their own interests</w:t>
      </w:r>
      <w:r w:rsidR="00CB6B93">
        <w:t xml:space="preserve"> and those of humanity in general</w:t>
      </w:r>
      <w:r>
        <w:t xml:space="preserve"> in the vital, if fragile outer space environment.</w:t>
      </w:r>
    </w:p>
    <w:p w14:paraId="2BC51C3E" w14:textId="77777777" w:rsidR="009A07BA" w:rsidRDefault="009A07BA"/>
    <w:p w14:paraId="43D94606" w14:textId="77777777" w:rsidR="009A07BA" w:rsidRDefault="009A07BA"/>
    <w:sectPr w:rsidR="009A07BA" w:rsidSect="00A86CF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8B10" w14:textId="77777777" w:rsidR="00667769" w:rsidRDefault="00667769" w:rsidP="00E72074">
      <w:r>
        <w:separator/>
      </w:r>
    </w:p>
  </w:endnote>
  <w:endnote w:type="continuationSeparator" w:id="0">
    <w:p w14:paraId="15B58A9D" w14:textId="77777777" w:rsidR="00667769" w:rsidRDefault="00667769" w:rsidP="00E7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0964" w14:textId="77777777" w:rsidR="008C3A17" w:rsidRDefault="008C3A17" w:rsidP="008C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0B71F" w14:textId="77777777" w:rsidR="008C3A17" w:rsidRDefault="008C3A17" w:rsidP="00E720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6E7A" w14:textId="77777777" w:rsidR="008C3A17" w:rsidRDefault="008C3A17" w:rsidP="008C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6C8">
      <w:rPr>
        <w:rStyle w:val="PageNumber"/>
        <w:noProof/>
      </w:rPr>
      <w:t>1</w:t>
    </w:r>
    <w:r>
      <w:rPr>
        <w:rStyle w:val="PageNumber"/>
      </w:rPr>
      <w:fldChar w:fldCharType="end"/>
    </w:r>
  </w:p>
  <w:p w14:paraId="71257EFC" w14:textId="77777777" w:rsidR="008C3A17" w:rsidRDefault="008C3A17" w:rsidP="00E720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EE065" w14:textId="77777777" w:rsidR="00667769" w:rsidRDefault="00667769" w:rsidP="00E72074">
      <w:r>
        <w:separator/>
      </w:r>
    </w:p>
  </w:footnote>
  <w:footnote w:type="continuationSeparator" w:id="0">
    <w:p w14:paraId="674D1E8F" w14:textId="77777777" w:rsidR="00667769" w:rsidRDefault="00667769" w:rsidP="00E72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56F"/>
    <w:multiLevelType w:val="hybridMultilevel"/>
    <w:tmpl w:val="41EC6D72"/>
    <w:lvl w:ilvl="0" w:tplc="160C45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BA"/>
    <w:rsid w:val="00050C11"/>
    <w:rsid w:val="000C700D"/>
    <w:rsid w:val="00112C05"/>
    <w:rsid w:val="002970F9"/>
    <w:rsid w:val="00392D01"/>
    <w:rsid w:val="00502BEA"/>
    <w:rsid w:val="00541094"/>
    <w:rsid w:val="0054708A"/>
    <w:rsid w:val="005C488D"/>
    <w:rsid w:val="00667769"/>
    <w:rsid w:val="006F26EC"/>
    <w:rsid w:val="00756F89"/>
    <w:rsid w:val="007E4E19"/>
    <w:rsid w:val="008C3A17"/>
    <w:rsid w:val="009A07BA"/>
    <w:rsid w:val="009E6885"/>
    <w:rsid w:val="00A86CF6"/>
    <w:rsid w:val="00AA0BB4"/>
    <w:rsid w:val="00AF6BFB"/>
    <w:rsid w:val="00B902B3"/>
    <w:rsid w:val="00BB16C8"/>
    <w:rsid w:val="00CB6B93"/>
    <w:rsid w:val="00CD58A2"/>
    <w:rsid w:val="00D45153"/>
    <w:rsid w:val="00DD0E4A"/>
    <w:rsid w:val="00E1232B"/>
    <w:rsid w:val="00E5328D"/>
    <w:rsid w:val="00E72074"/>
    <w:rsid w:val="00F30228"/>
    <w:rsid w:val="00F65DBF"/>
    <w:rsid w:val="00FB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73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8D"/>
    <w:pPr>
      <w:ind w:left="720"/>
      <w:contextualSpacing/>
    </w:pPr>
  </w:style>
  <w:style w:type="paragraph" w:styleId="Footer">
    <w:name w:val="footer"/>
    <w:basedOn w:val="Normal"/>
    <w:link w:val="FooterChar"/>
    <w:uiPriority w:val="99"/>
    <w:unhideWhenUsed/>
    <w:rsid w:val="00E72074"/>
    <w:pPr>
      <w:tabs>
        <w:tab w:val="center" w:pos="4320"/>
        <w:tab w:val="right" w:pos="8640"/>
      </w:tabs>
    </w:pPr>
  </w:style>
  <w:style w:type="character" w:customStyle="1" w:styleId="FooterChar">
    <w:name w:val="Footer Char"/>
    <w:basedOn w:val="DefaultParagraphFont"/>
    <w:link w:val="Footer"/>
    <w:uiPriority w:val="99"/>
    <w:rsid w:val="00E72074"/>
  </w:style>
  <w:style w:type="character" w:styleId="PageNumber">
    <w:name w:val="page number"/>
    <w:basedOn w:val="DefaultParagraphFont"/>
    <w:uiPriority w:val="99"/>
    <w:semiHidden/>
    <w:unhideWhenUsed/>
    <w:rsid w:val="00E72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8D"/>
    <w:pPr>
      <w:ind w:left="720"/>
      <w:contextualSpacing/>
    </w:pPr>
  </w:style>
  <w:style w:type="paragraph" w:styleId="Footer">
    <w:name w:val="footer"/>
    <w:basedOn w:val="Normal"/>
    <w:link w:val="FooterChar"/>
    <w:uiPriority w:val="99"/>
    <w:unhideWhenUsed/>
    <w:rsid w:val="00E72074"/>
    <w:pPr>
      <w:tabs>
        <w:tab w:val="center" w:pos="4320"/>
        <w:tab w:val="right" w:pos="8640"/>
      </w:tabs>
    </w:pPr>
  </w:style>
  <w:style w:type="character" w:customStyle="1" w:styleId="FooterChar">
    <w:name w:val="Footer Char"/>
    <w:basedOn w:val="DefaultParagraphFont"/>
    <w:link w:val="Footer"/>
    <w:uiPriority w:val="99"/>
    <w:rsid w:val="00E72074"/>
  </w:style>
  <w:style w:type="character" w:styleId="PageNumber">
    <w:name w:val="page number"/>
    <w:basedOn w:val="DefaultParagraphFont"/>
    <w:uiPriority w:val="99"/>
    <w:semiHidden/>
    <w:unhideWhenUsed/>
    <w:rsid w:val="00E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Meyer</dc:creator>
  <cp:lastModifiedBy>Marco Calderon</cp:lastModifiedBy>
  <cp:revision>2</cp:revision>
  <dcterms:created xsi:type="dcterms:W3CDTF">2015-08-31T14:14:00Z</dcterms:created>
  <dcterms:modified xsi:type="dcterms:W3CDTF">2015-08-31T14:14:00Z</dcterms:modified>
</cp:coreProperties>
</file>